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2013/230 vom 19. August 2014</w:t>
      </w:r>
    </w:p>
    <w:p>
      <w:r>
        <w:t>Sg Versicherungsgericht, 2014-08-19, DE</w:t>
      </w:r>
    </w:p>
    <w:p>
      <w:r>
        <w:rPr>
          <w:b/>
        </w:rPr>
        <w:t xml:space="preserve">Quelle: </w:t>
      </w:r>
      <w:r>
        <w:t>https://mcp.opencaselaw.ch/entscheid/sg_publikationen_IV 2013_230</w:t>
      </w:r>
    </w:p>
    <w:p>
      <w:r>
        <w:t>FR: SG_VERSICHERUNGSGERICHT IV 2013/230 du 19 août 2014</w:t>
      </w:r>
    </w:p>
    <w:p>
      <w:r>
        <w:t>IT: SG_VERSICHERUNGSGERICHT IV 2013/230 del 19 agosto 2014</w:t>
      </w:r>
    </w:p>
    <w:p>
      <w:pPr>
        <w:pStyle w:val="Heading2"/>
      </w:pPr>
      <w:r>
        <w:t>Regeste</w:t>
      </w:r>
    </w:p>
    <w:p>
      <w:r>
        <w:t>Art. 42 IVG. Art. 37 IVV. Hilflosenentschädigung. Revision. Bei der geistig beeinträchtigen Beschwerdeführerin geht es in erster Linie um indirekte Hilfe bei den alltäglichen Lebensverrichtungen in Form von persönlicher Überwachung. Ein regelmässiger erheblicher Hilfebedarf ist in der Verrichtung Aufstehen/Absitzen/Abliegen nicht mehr ausgewiesen. Da die Beschwerdeführerin somit nicht mehr in allen alltäglichen Lebensverrichtungen einen regelmässigen erheblichen Hilfebedarf hat, erweist sich die Reduktion der bisher ausgerichteten Hilflosentschädigung schweren Grades auf eine solche mittleren Grades als rechtmässig (Entscheid des Versicherungsgerichts des Kantons St. Gallen vom 19. August 2014, IV 2013/230).</w:t>
      </w:r>
    </w:p>
    <w:p>
      <w:pPr>
        <w:pStyle w:val="Heading2"/>
      </w:pPr>
      <w:r>
        <w:t>Erwägungen</w:t>
      </w:r>
    </w:p>
    <w:p>
      <w:r>
        <w:rPr>
          <w:b/>
        </w:rPr>
        <w:t>E. 1</w:t>
      </w:r>
    </w:p>
    <w:p>
      <w:r>
        <w:t>1.1  Nach Art. 17 Abs. 2 des Bundesgesetzes über den Allgemeinen Teil des Sozialversicherungsrechts (ATSG; ST 830.1) wird neben der Rente (Abs. 1) auch jede andere formell rechtskräftig zugesprochene Dauerleistung von Amtes wegen oder auf Gesuch hin erhöht, herabgesetzt oder aufgehoben, wenn sich der ihr zu Grunde liegende Sachverhalt nachträglich erheblich verändert hat. Hilflosenentschädigungen fallen in den Anwendungsbereich von Art. 17 Abs. 2 ATSG 1.2  Als hilflos gilt, wer wegen der Beeinträchtigung der Gesundheit für alltägliche Lebensverrichtungen dauernd der Hilfe Dritter oder der persönlichen Überwachung bedarf (Art. 9 ATSG). Hilflose Personen haben einen Anspruch auf eine Hilflosenent­schädigung. Es ist zu unterscheiden zwischen schwerer, mittelschwerer und leichter Hilflosigkeit (Art. 42 Abs. 1 und 2 des Bundesgesetzes über die Invalidenversicherung [IVG; SR 831.20]). Eine leichte Hilflosigkeit liegt vor, wenn eine versicherte Person trotz Abgabe von Hilfsmitteln in mindestens zwei alltäglichen Lebensverrichtungen regelmässig in erheblicher Weise auf die Hilfe Dritter angewiesen ist (Art. 37 Abs. 3 lit. a der Verordnung über die Invalidenversicherung [IVV; SR 831.201]), einer dauernden persönlichen Überwachung bedarf (Art. 37 Abs. 3 lit. b IVV), einer durch das Gebrechen bedingten ständigen und besonders aufwendigen Pflege bedarf (Art. 37 Abs. 3 lit. c IVV) oder nur dank regelmässigen und erheblichen Dienstleistungen Dritter gesellschaftliche Kontakte pflegen kann (Art. 37 Abs. 3 lit. d IVV). Als mittelschwer gilt die Hilflosigkeit, wenn die versicherte Person trotz Abgabe von Hilfsmitteln in den meisten alltäglichen Lebensverrichtungen in erheblicher Weise auf Dritthilfe angewiesen ist (Art. 37 Abs. 2 lit. a IVV). Gemäss bundesgerichtlicher Rechtsprechung wird eine Hilfsbedürftigkeit in mindestens vier alltäglichen Lebensverrichtungen vorausgesetzt (BGE 121 V 90 E. 3b). Überdies ist eine mittelschwere Hilflosigkeit gegeben, wenn die versicherte Person Dritthilfe in mindestens zwei Lebensverrichtungen und zudem einer dauernden persönlichen Überwachung oder dauernder lebenspraktischer Begleitung bedarf (Art. 37 Abs. 2 lit. b und c IVV). Ist die versicherte Person vollständig hilflos, benötigt sie also in allen Lebensverrichtungen regelmässig und in erheblicher Weise Dritthilfe und dauernde Pflege oder persönliche Überwachung, so gilt die Hilflosigkeit als schwer (Art. 37 Abs. 1 IVV). 1.3  Die Praxis kennt die folgenden sechs alltäglichen Lebensverrichtungen: An-/Aus­kleiden, Aufstehen/Absitzen/Abliegen, Essen, Körperpflege, Notdurftverrichtung sowie Fortbewegung einschliesslich der Pflege gesellschaftlicher Kontakte (vgl. Rz 8010 des Kreisschreibens über Invalidität und Hilflosigkeit in der IV [KSIH], in der Fassung gültig ab 1. Januar 2014).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Indirekte Hilfe von Drittpersonen ist gegeben, wenn die versicherte Person die alltäglichen Lebensverrichtungen zwar funktionsmässig selbst ausführen kann, dies aber nicht, nur unvollständig oder zu Unzeiten tun würde, wenn sie sich selbst überlassen wäre (ZAK 1984 S. 354, 1980 S. 66, KSIH Rz 8029). Die indirekte Hilfe, die zur Hauptsache psychisch und geistig Behinderte betrifft, setzt voraus, dass die Drittperson regelmässig anwesend ist und die versicherte Person insbesondere bei der Ausführung der in Frage stehenden Verrichtungen persönlich überwacht, sie zum Handeln anhält oder von schädigenden Handlungen abhält und ihr nach Bedarf hilft (KSIH Rz 8030). Die Hilfe ist regelmässig, wenn die versicherte Person sie täglich benötigt oder eventuell täglich nötig hat. Dies ist z.B. auch gegeben bei Anfällen, die zuweilen nur alle zwei bis drei Tage, jedoch unvermittelt und oft auch täglich oder täglich mehrmals erfolgen (ZAK 1986 S. 484; Rz 802 KSIH). 1.4  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und der versicherten Person, soweit diese urteilsfähig ist, zu berücksichtigen.</w:t>
      </w:r>
    </w:p>
    <w:p>
      <w:r>
        <w:rPr>
          <w:b/>
        </w:rPr>
        <w:t>E. 2</w:t>
      </w:r>
    </w:p>
    <w:p>
      <w:r>
        <w:t>2.1  Vorweg ist festzuhalten, dass die Teilnahme der Beschwerdeführerin am Pilotversuch C.___ bis zum 31. Dezember 2012 keinen Einfluss auf die Anwendbarkeit von Art. 17 Abs. 2 ATSG hat. Die der Beschwerdeführerin am 20. November 2006 zugesprochene Hilflosenentschädigung schweren Grades ist als eine der Revision offen stehende Dauerleistung zu qualifizieren, selbst wenn sie während der Dauer des Pilotversuchs vorübergehend durch eine Assistenzpauschale ersetzt worden ist. Der Hilflosigkeitsgrad der Beschwerdeführerin hat sich allein dadurch nämlich nicht verändert. Nach Beendigung des Pilotversuchs hat die Beschwerdeführerin wieder dem ordentlichen Recht unterstanden und damit wieder eine schwergradige Hilflosenentschädigung gemäss Art. 42 IVG erhalten (vgl. Art. 5 Abs. 4 der Verordnung des Bundesrates über den Pilotversuch C.___ vom 10. Juni 2005). 2.2  Zu beurteilen ist als Nächstes, welcher Vergleichszeitpunkt vorliegend für den Nachweis einer anspruchsrelevanten erheblichen Änderung des Hilflosigkeitsgrades herangezogen werden muss. Gemäss bundesgerichtlicher Rechtsprechung zur Rentenrevision ist der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E. 5.4). Diese Rechtsprechung ist in Bezug auf eine rechtskonforme Sachverhaltsabklärung und Beweiswürdigung auch bei der Revision der Hilflosenentschädigung anzuwenden, da es sich dabei wie bei der Rente um eine Dauerleistung handelt. 2.3  Vorliegend hat die letzte revisionsweise Leistungsüberprüfung des Anspruchs auf Hilflosenentschädigung im Jahr 2006 stattgefunden. Im Rahmen dieser Überprüfung hat die Beschwerdegegnerin einen Fragebogen durch die Eltern der Beschwerdeführerin ausfüllen lassen und einen Verlaufsbericht beim Hausarzt eingeholt (vgl. IV-act. 129). Im Weiteren hat sie am 6. September 2006 eine Abklärung vor Ort durchgeführt (vgl. IV-act. 137). Vor diesem Hintergrund ist davon auszugehen, dass der Sachverhalt im Revisionsverfahren von 2006 rechtskonform abgeklärt worden ist. Die Verfügung vom 20. November 2006 (vgl. IV-act. 147) kann somit als Vergleichszeitpunkt für die Beurteilung einer anspruchserheblichen Änderung des Hilflosigkeitsgrades herangezogen werden.</w:t>
      </w:r>
    </w:p>
    <w:p>
      <w:r>
        <w:rPr>
          <w:b/>
        </w:rPr>
        <w:t>E. 3</w:t>
      </w:r>
    </w:p>
    <w:p>
      <w:r>
        <w:t>3.1  Zu prüfen ist nun, ob die Beschwerdegegnerin zu Recht eine erhebliche Ver­besserung des Gesundheitszustandes der Beschwerdeführerin im Vergleich zur Ver­fügung vom 20. November 2006 angenommen und die Hilflosenentschädigung ent­sprechend reduziert hat. 3.2  Nicht umstritten ist, dass die Beschwerdeführerin nach wie vor einen erheblichen und regelmässigen Dritthilfebedarf in den Bereichen An-/Auskleiden, Körperpflege, Verrichtung der Notdurft sowie der Fortbewegung hat. Weiter ist auch die Notwendigkeit einer dauernden persönlichen Überwachung ausgewiesen (vgl. IV-act. 319-2). Umstritten und zu prüfen ist hingegen der Hilfebedarf der Beschwerdeführerin in den Lebensverrichtungen Aufstehen/Absitzen/Abliegen und Essen. Die Beschwerdegegnerin hat geltend gemacht, dass die Beschwerdeführerin insbesondere in diesen zwei Bereichen derart Fortschritte gemacht habe, dass keine Hilflosigkeit mehr angenommen werden könne. Sie hat sich dabei im Wesentlichen auf die Ergebnisse der Abklärung vor Ort vom 10. Januar 2013 sowie die telefonische Auskunft der Betreuerin Frau F.___ vom 17. April 2013 gestützt. 3.3  In der Verrichtung Aufstehen/Absitzen/Abliegen ist im Rahmen der Abklärung vor Ort am 6. September 2006 ein erheblicher und regelmässiger Hilfebedarf bejaht worden. Die Abklärungsverantwortliche hat damals festgehalten, die Beschwerdeführerin habe keinen Tag-Nacht-Rhythmus und stehe in der Nacht regelmässig auf. Die Mutter müsse die Beschwerdeführerin wieder ins Bett begleiten und warten, bis diese eingeschlafen sei. Ohne die Hilfe der Mutter würde die Beschwerdeführerin nicht ins Bett gehen (vgl. IV-act. 137-5). Demgegenüber ist im Bericht der Abklärung vor Ort vom 10. Januar 2013 festgehalten worden, dass die Beschwerdeführerin vor dem Zubettgehen zwar noch immer vorsichtig und geschickt motiviert werden müsse. Nachdem die Beschwerdeführerin sich dann ins Bett gelegt habe, reiche aber eine hörende Wahrnehmung der Familie, damit die Beschwerdeführerin im Bett bleibe und einschlafe. Gemäss dem Abklärungsbericht komme es zwei bis drei Mal in der Woche vor, dass die Beschwerdeführerin aufstehe, worauf sie von der Mutter jedoch zügig wieder zu Bett gebracht werden könne (vgl. IV-act. 304-3). Motorische Einschränkungen beim Aufstehen/Absitzen/Abliegen hat die Beschwerdeführerin unbestrittenermassen keine. Vielmehr geht es vorliegend um eine indirekte Hilfe in Form einer psychischen Unterstützung bzw. Überwachung beim Abliegen im Sinne des Zubettgehens sowie beim Aufstehen am Morgen nach dem Aufwachen. Aufgrund der Ausführungen im Abklärungsbericht vom 10. Januar 2013 ist davon auszugehen, dass sich die Beschwerdeführerin im Gegensatz zur letzten Abklärung im 2006 zwischenzeitlich an einen Tag-Nacht-Rhythmus gewöhnt hat. Zudem hat sie gelernt, im Bett zu bleiben, ohne dass die Mutter im Gang warten muss, bis sie eingeschlafen ist. Es reicht nun offenbar aus, dass die Beschwerdeführerin ihre Familie vom Schlafzimmer aus noch hörend wahrnehmen kann. Die Betreuerin Frau F.___ hat am 17. April 2013 angegeben, dass die Beschwerdeführerin bei ihr sogar freiwillig ins Bett gehe und rasch einschlafe, da sie durch die Arbeit im Stall immer sehr müde sei. Zum Einschlafen höre sie jeweils etwas Musik, ansonsten seien keine speziellen Rituale erforderlich. Es sei auch nicht nötig, dass jemand warte, bis die Beschwerdeführerin eingeschlafen sei (vgl. IV-act. 316-2). Der Rechtsvertreter hat vorgebracht, es könne nicht auf die Ausführungen von Frau F.___ abgestellt werden. Die Beschwerdeführerin zeige bei Frau F.___ ein besseres Verhalten, weil der Aufenthalt dort etwas Spezielles sei, wohingegen sie zu Hause bei der Mutter nur den Alltag erlebe. Es ist jedoch davon auszugehen, dass die Beschwerdeführerin sich an die seit Jahren gleichen Betreuungspersonen und externen Betreuungsorte (vgl. IV-act. 298-1) derart gewöhnt hat, dass der Aufenthalt dort für sie ebenfalls zur Routine geworden ist. Gestützt auf die Abklärung vor Ort vom 10. Januar 2013 ist auch ein Bericht als Grundlage zur Berechnung eines allfälligen Anspruchs auf einen Assistenzbeitrag, ein sogenannter FAKT, erstellt worden. Im FAKT wurde bei der Verrichtung Aufstehen/Absitzen/ Abliegen ein Hilfebedarf der Stufe 0 vermerkt, was bedeutet, dass die Beschwerdeführerin keinerlei Hilfebedarf in diesem Bereich aufweist. Als Bemerkung haben die Abklärungsverantwortlichen festgehalten, dass die Beschwerdeführerin selbst aufstehen könne, nachdem sie am Morgen aufgewacht sei. Wenn die Beschwerdeführerin noch nicht wach sei, werde sie spätestens gegen 07:00 Uhr vorsichtig geweckt (vgl. IV-act. 298-8). Demnach ist die Beschwerdeführerin weder beim Zubettgehen noch beim Aufstehen am Morgen auf eine erhebliche Dritthilfe angewiesen. Es bedarf lediglich – und dies offenbar auch nicht immer – einer Motivation bzw. einer leichten Führung, damit die Beschwerdeführerin am Abend ins Bett geht bzw. am Morgen aufsteht. Der Umstand, dass die Beschwerdeführerin jede zweite oder dritte Nacht aufsteht und wieder zu Bett gebracht werden muss, erfüllt nicht die geforderten Voraussetzungen der Regelmässigkeit und Erheblichkeit des Hilfebedarfs. Die nach der seit 2006 eingetretenen Verbesserung noch erforderlichen Hilfestellungen erreichen nicht ein solches Ausmass, um eine Hilflosigkeit im Bereich Aufstehen/Absitzen/Abliegen annehmen zu können. Gemäss dem FAKT sind die Abklärungsverantwortlichen davon ausgegangen, dass der Hilfebedarf nicht einmal die Stufe 1 erfüllt, d.h. nicht einmal ein Bedarf an lediglich punktueller direkter oder indirekter Hilfe besteht. Die Einschätzung der Hilflosigkeit im FAKT ist von der Mutter der Beschwerdeführerin unterschriftlich bestätigt worden (vgl. IV-act. 298-4). Auch die Verneinung eines Hilfebedarfs beim Aufstehen/Absitzen/Abliegen im Bericht betreffend die Hilflosenentschädigung hat sie bestätigt (vgl. IV-act. 304-5). In ihrem Ergänzungsschreiben hat die Mutter zwar festgehalten, dass das Problem vor allem in den Übergängen zwischen zwei Tätigkeiten liege (z.B. aufstehen und ins Badezimmer gehen), wobei sie für die Beschwerdeführerin Verbindungen herstellen müsse, damit diese nicht blockiere (vgl. IV-act. 306-2). Es geht aus ihren Ausführungen jedoch nicht hervor, dass die Beschwerdeführerin allein für das Aufstehen oder Abliegen als Tätigkeit an sich (psychische) Unterstützung benötigen würde. Zusammengefasst ist davon auszugehen, dass die Beschwerdeführerin im Bereich Aufstehen/Absitzen/Abliegen im Vergleich zur Abklärung im Jahr 2006 erhebliche Fortschritte gemacht hat, so dass überwiegend wahrscheinlich kein erheblicher und regelmässiger Hilfebedarf in dieser Verrichtung mehr besteht. 3.4  Betreffend die Verrichtung Essen hat die Abklärungsverantwortliche im Bericht vom 6. September 2006 einen regelmässigen und erheblichen Hilfebedarf bejaht und ausgeführt, dass die Beschwerdeführerin keine regelmässigen Essenszeiten einhalte, sondern dann esse, wenn sie Hunger habe. Die Mutter müsse beim Essen anwesend sein und ihr immer wieder Impulse und Körperkontakte geben, damit sie esse. Die Beschwerdeführerin esse mehrheitlich mit den Händen oder mit einem Löffel. Sämtliche Speisen müssten in mundgerechte Stücke zerkleinert werden. Die Mutter selbst könne nebenbei nicht essen  (vgl. IV-act. 137-5). Demgegenüber ist in der Abklärung vor Ort vom 10. Januar 2013 festgehalten worden, dass die Beschwerdeführerin beim Essen mehrheitlich selbständig sei. Sie sei in der Lage, mit Besteck zu essen und das Messer einzusetzen, um Nahrung zu zerkleinern. Nur gelegentlich sei für das Zerkleinern harter Nahrung Unterstützung nötig. Das Trinken aus einem Glas funktioniere ohne Dritthilfe (vgl. IV-act. 304-4). In funktionaler Hinsicht bestehen beim Essen grundsätzlich keine Einschränkungen mehr, was auch von der Mutter nochmals ausdrücklich im Ergänzungsschreiben bestätigt worden ist (vgl. IV-act. 306-2). Offenbar sind auch keine Impulse und Körperkontakte seitens der Mutter mehr nötig, um die  Beschwerdeführerin zum Essen zu motivieren. Die Feststellungen im Abklärungsbericht sind von der Mutter zwar unterschriftlich bestätigt worden, ergänzend hat sie jedoch geltend gemacht, dass die Beschwerdeführerin im Sinne einer psychischen Unterstützung und Überwachung auf ihre Anwesenheit während dem Essen angewiesen sei. Es bestehe sonst die Gefahr, dass die Beschwerdeführerin ausraste und z.B. den Teller ausleere oder das Besteck auf den Boden werfe (vgl. IV-act. 306-2). Es geht somit um die Frage, ob die Beschwerdeführerin während der Verrichtung Essen eine erhebliche und regelmässige indirekte Hilfe in Form einer persönlichen Überwachung bedarf (vgl. KSIH Rz 8030). Vergleicht man die Abklärungsberichte von 2006 und 2013, ist eine gewisse Verbesserung in der Lebensverrichtung Essen ersichtlich. Die Frage, ob der noch bestehende Hilfebedarf als regelmässig und erheblich zu qualifizieren ist und damit die Annahme einer Hilflosigkeit im Bereich Essen rechtfertigt, kann vorliegend aber offen gelassen werden. 3.5  Für die Annahme einer schweren Hilflosigkeit ist ein regelmässiger und erheblicher Hilfebedarf in sämtlichen sechs alltäglichen Lebensverrichtungen vorausgesetzt (Art. 37 Abs. 1 IVV). Da ein solcher Hilfebedarf in der Verrichtung Aufstehen/Absitzen/Abliegen nicht mehr gegeben ist (vgl. E. 3.3), kann die Beschwerdeführerin – unabhängig von der Beurteilung des Hilfebedarfs in der Verrichtung Essen – keinen Anspruch auf eine Hilflosenentschädigung schweren Grades begründen. Die Beschwerdegegnerin hat die bisher ausgerichtete Hilflosenentschädigung schweren Grades somit zu Recht auf eine solche mittleren Grades reduziert. Folglich erweist sich die angefochtene Verfügung vom 19. April 2013 als rechtmässig.</w:t>
      </w:r>
    </w:p>
    <w:p>
      <w:r>
        <w:rPr>
          <w:b/>
        </w:rPr>
        <w:t>E. 4</w:t>
      </w:r>
    </w:p>
    <w:p>
      <w:r>
        <w:t>4.1  Gestützt auf die vorstehenden Erwägungen ist die Beschwerde abzuweisen. 4.2  Der Beschwerdeführerin ist die unentgeltliche Rechtspflege (Befreiung von den Gerichtskosten und Bewilligung der unentgeltlichen Rechtsverbeiständung) am 10. September 2013 bewilligt worden (act. G 8). Wenn ihre wirtschaftlichen Verhältnisse es gestatten, kann sie jedoch zur Nachzahlung verpflichtet werden (Art. 123 der Schweizerischen Zivilprozessordnung [ZPO; SR 272] i.V.m. Art. 99 Abs. 2 des Gesetzes über die Verwaltungsrechtspflege [VRP; sGS 951.1]).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Der unterliegenden Beschwerdeführerin sind die Gerichtskosten in der Höhe von Fr. 600.-- aufzuerlegen. Zufolge unentgeltlicher Rechtspflege ist die Beschwerdeführerin von der Bezahlung der Gerichtskosten zu befreien. 4.4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In der vorliegend zu beurteilenden Angelegenheit erscheint mit Blick auf vergleichbare Fälle eine pauschale Parteientschädigung von Fr. 3'500.-- (inklusive Barauslagen und Mehrwertsteuer) angemessen. Diese ist um einen Fünftel zu kürzen (Art. 31 Abs. 3 des Anwaltsgesetztes [ AnwG/SG; sGS 963.70]). Somit hat der Staat den Rechtsvertreter der Beschwerdeführerin pauschal mit Fr. 2'800 (inklusive Barauslagen und Mehrwertsteuer) zu entschädigen. Demgemäss hat das Versicherungsgericht entschieden: 1.      Die Beschwerde wird abgewiesen. 2.      Die Beschwerdeführerin wird von der Bezahlung der Gerichtsgebühr in Höhe von Fr. 600.--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